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A5" w:rsidRDefault="004527A5" w:rsidP="00CE5C4E">
      <w:pPr>
        <w:autoSpaceDE w:val="0"/>
        <w:autoSpaceDN w:val="0"/>
        <w:adjustRightInd w:val="0"/>
        <w:jc w:val="right"/>
        <w:rPr>
          <w:i/>
        </w:rPr>
      </w:pPr>
      <w:r w:rsidRPr="00CA5754">
        <w:rPr>
          <w:i/>
        </w:rPr>
        <w:t xml:space="preserve">Вносится </w:t>
      </w:r>
      <w:r>
        <w:rPr>
          <w:i/>
        </w:rPr>
        <w:t xml:space="preserve">комитетом Законодательного Собрания </w:t>
      </w:r>
    </w:p>
    <w:p w:rsidR="004527A5" w:rsidRDefault="004527A5" w:rsidP="00CE5C4E">
      <w:pPr>
        <w:autoSpaceDE w:val="0"/>
        <w:autoSpaceDN w:val="0"/>
        <w:adjustRightInd w:val="0"/>
        <w:jc w:val="right"/>
        <w:rPr>
          <w:i/>
        </w:rPr>
      </w:pPr>
      <w:r>
        <w:rPr>
          <w:i/>
        </w:rPr>
        <w:t>Новосибирской области по аграрной политике,</w:t>
      </w:r>
    </w:p>
    <w:p w:rsidR="004527A5" w:rsidRDefault="004527A5" w:rsidP="00CE5C4E">
      <w:pPr>
        <w:autoSpaceDE w:val="0"/>
        <w:autoSpaceDN w:val="0"/>
        <w:adjustRightInd w:val="0"/>
        <w:jc w:val="right"/>
        <w:rPr>
          <w:i/>
        </w:rPr>
      </w:pPr>
      <w:r>
        <w:rPr>
          <w:i/>
        </w:rPr>
        <w:t>природным ресурсам и земельным отношениям</w:t>
      </w:r>
    </w:p>
    <w:p w:rsidR="004527A5" w:rsidRDefault="004527A5" w:rsidP="006F2281">
      <w:pPr>
        <w:jc w:val="right"/>
        <w:rPr>
          <w:sz w:val="28"/>
          <w:szCs w:val="28"/>
        </w:rPr>
      </w:pPr>
    </w:p>
    <w:p w:rsidR="004527A5" w:rsidRPr="004511E1" w:rsidRDefault="004527A5" w:rsidP="006F2281">
      <w:pPr>
        <w:jc w:val="right"/>
        <w:rPr>
          <w:sz w:val="28"/>
          <w:szCs w:val="28"/>
        </w:rPr>
      </w:pPr>
      <w:r w:rsidRPr="004511E1">
        <w:rPr>
          <w:sz w:val="28"/>
          <w:szCs w:val="28"/>
        </w:rPr>
        <w:t xml:space="preserve">Проект </w:t>
      </w:r>
    </w:p>
    <w:p w:rsidR="004527A5" w:rsidRPr="004511E1" w:rsidRDefault="004527A5" w:rsidP="006F2281">
      <w:pPr>
        <w:jc w:val="right"/>
        <w:rPr>
          <w:sz w:val="28"/>
          <w:szCs w:val="28"/>
        </w:rPr>
      </w:pPr>
      <w:r w:rsidRPr="004511E1">
        <w:rPr>
          <w:sz w:val="28"/>
          <w:szCs w:val="28"/>
        </w:rPr>
        <w:t>№______</w:t>
      </w:r>
    </w:p>
    <w:p w:rsidR="004527A5" w:rsidRPr="004511E1" w:rsidRDefault="004527A5" w:rsidP="006F2281">
      <w:pPr>
        <w:jc w:val="right"/>
        <w:rPr>
          <w:sz w:val="32"/>
          <w:szCs w:val="32"/>
        </w:rPr>
      </w:pPr>
      <w:r w:rsidRPr="004511E1">
        <w:rPr>
          <w:vanish/>
          <w:sz w:val="28"/>
          <w:szCs w:val="28"/>
        </w:rPr>
        <w:t>#G0</w:t>
      </w:r>
    </w:p>
    <w:p w:rsidR="004527A5" w:rsidRPr="004511E1" w:rsidRDefault="004527A5" w:rsidP="006F2281">
      <w:pPr>
        <w:pStyle w:val="Heading"/>
        <w:jc w:val="center"/>
        <w:rPr>
          <w:rFonts w:ascii="Times New Roman" w:hAnsi="Times New Roman" w:cs="Times New Roman"/>
          <w:sz w:val="32"/>
          <w:szCs w:val="32"/>
        </w:rPr>
      </w:pPr>
      <w:r w:rsidRPr="004511E1">
        <w:rPr>
          <w:rFonts w:ascii="Times New Roman" w:hAnsi="Times New Roman" w:cs="Times New Roman"/>
          <w:sz w:val="32"/>
          <w:szCs w:val="32"/>
        </w:rPr>
        <w:t xml:space="preserve">ЗАКОН    </w:t>
      </w:r>
    </w:p>
    <w:p w:rsidR="004527A5" w:rsidRPr="004511E1" w:rsidRDefault="004527A5" w:rsidP="006F2281">
      <w:pPr>
        <w:pStyle w:val="Heading"/>
        <w:jc w:val="center"/>
        <w:rPr>
          <w:rFonts w:ascii="Times New Roman" w:hAnsi="Times New Roman" w:cs="Times New Roman"/>
          <w:sz w:val="32"/>
          <w:szCs w:val="32"/>
        </w:rPr>
      </w:pPr>
      <w:r w:rsidRPr="004511E1">
        <w:rPr>
          <w:rFonts w:ascii="Times New Roman" w:hAnsi="Times New Roman" w:cs="Times New Roman"/>
          <w:sz w:val="32"/>
          <w:szCs w:val="32"/>
        </w:rPr>
        <w:t xml:space="preserve">НОВОСИБИРСКОЙ ОБЛАСТИ </w:t>
      </w:r>
    </w:p>
    <w:p w:rsidR="004527A5" w:rsidRPr="004511E1" w:rsidRDefault="004527A5" w:rsidP="006F2281">
      <w:pPr>
        <w:pStyle w:val="ConsPlusTitle"/>
        <w:widowControl/>
        <w:jc w:val="center"/>
        <w:rPr>
          <w:sz w:val="28"/>
          <w:szCs w:val="28"/>
        </w:rPr>
      </w:pPr>
    </w:p>
    <w:p w:rsidR="004527A5" w:rsidRDefault="004527A5" w:rsidP="006F22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A40EB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Закон Новосибирской области «Об охоте и сохранении охотничьих ресурсов на территории Новосибирской области»</w:t>
      </w:r>
    </w:p>
    <w:p w:rsidR="004527A5" w:rsidRDefault="004527A5" w:rsidP="006F2281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4527A5" w:rsidRDefault="004527A5" w:rsidP="006F2281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4527A5" w:rsidRPr="002C1491" w:rsidRDefault="004527A5" w:rsidP="006F2281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2C1491">
        <w:rPr>
          <w:b/>
          <w:sz w:val="28"/>
          <w:szCs w:val="28"/>
        </w:rPr>
        <w:t>Статья 1</w:t>
      </w:r>
    </w:p>
    <w:p w:rsidR="004527A5" w:rsidRDefault="004527A5" w:rsidP="006F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27A5" w:rsidRDefault="004527A5" w:rsidP="006F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Закон Новосибирской области от 6 октября 2010 года № 531-ОЗ «Об охоте и сохранении охотничьих ресурсов на территории Новосибирской области» (с изменениями, внесенными Законами Новосибирской области от 9 декабря 2011 года № 175-ОЗ, от 5 июня 2013 года № 335-ОЗ, от 5 июля 2013 года № 349-ОЗ, от 5 февраля 2014 года № 415-ОЗ) следующие изменения:</w:t>
      </w:r>
      <w:proofErr w:type="gramEnd"/>
    </w:p>
    <w:p w:rsidR="004527A5" w:rsidRPr="00ED22DA" w:rsidRDefault="004527A5" w:rsidP="00ED22DA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Pr="00ED22DA">
        <w:rPr>
          <w:sz w:val="28"/>
          <w:szCs w:val="28"/>
        </w:rPr>
        <w:t>ункт 1 части 1  статьи 6 исключить;</w:t>
      </w:r>
    </w:p>
    <w:p w:rsidR="004527A5" w:rsidRPr="008609DF" w:rsidRDefault="004527A5" w:rsidP="008609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п</w:t>
      </w:r>
      <w:r w:rsidRPr="008609DF">
        <w:rPr>
          <w:sz w:val="28"/>
          <w:szCs w:val="28"/>
        </w:rPr>
        <w:t>ункт 4 части 1 статьи 7  после слова «разработка» дополнить словами «и утверждение»;</w:t>
      </w:r>
    </w:p>
    <w:p w:rsidR="004527A5" w:rsidRPr="00917525" w:rsidRDefault="004527A5" w:rsidP="0091752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3) в</w:t>
      </w:r>
      <w:r w:rsidRPr="00917525">
        <w:rPr>
          <w:sz w:val="28"/>
          <w:szCs w:val="28"/>
        </w:rPr>
        <w:t xml:space="preserve"> статье 10:</w:t>
      </w:r>
    </w:p>
    <w:p w:rsidR="004527A5" w:rsidRPr="00ED22DA" w:rsidRDefault="004527A5" w:rsidP="00ED22DA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ED22DA">
        <w:rPr>
          <w:sz w:val="28"/>
          <w:szCs w:val="28"/>
        </w:rPr>
        <w:t>часть 2 изложить в следующей редакции:</w:t>
      </w:r>
    </w:p>
    <w:p w:rsidR="004527A5" w:rsidRPr="00CE5C4E" w:rsidRDefault="004527A5" w:rsidP="006F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 Распределение разрешений между физическими лицами, сведения о которых содержатся в государственном </w:t>
      </w:r>
      <w:proofErr w:type="spellStart"/>
      <w:r>
        <w:rPr>
          <w:sz w:val="28"/>
          <w:szCs w:val="28"/>
        </w:rPr>
        <w:t>охотхозяйственном</w:t>
      </w:r>
      <w:proofErr w:type="spellEnd"/>
      <w:r>
        <w:rPr>
          <w:sz w:val="28"/>
          <w:szCs w:val="28"/>
        </w:rPr>
        <w:t xml:space="preserve"> реестре, в случае осуществления ими охоты в общедоступных охотничьих угодьях осуществляется уполномоченным органом в отношении каждого </w:t>
      </w:r>
      <w:r w:rsidRPr="00CE5C4E">
        <w:rPr>
          <w:sz w:val="28"/>
          <w:szCs w:val="28"/>
        </w:rPr>
        <w:t>общедоступного охотничьего угодья Новосибирской области в пределах:</w:t>
      </w:r>
    </w:p>
    <w:p w:rsidR="004527A5" w:rsidRPr="00CE5C4E" w:rsidRDefault="004527A5" w:rsidP="006F2281">
      <w:pPr>
        <w:pStyle w:val="Default"/>
        <w:ind w:firstLine="540"/>
        <w:jc w:val="both"/>
        <w:rPr>
          <w:sz w:val="28"/>
          <w:szCs w:val="28"/>
        </w:rPr>
      </w:pPr>
      <w:r w:rsidRPr="00CE5C4E">
        <w:rPr>
          <w:sz w:val="28"/>
          <w:szCs w:val="28"/>
        </w:rPr>
        <w:t xml:space="preserve">1) квот добычи охотничьих ресурсов, утверждаемых Губернатором Новосибирской области; </w:t>
      </w:r>
    </w:p>
    <w:p w:rsidR="004527A5" w:rsidRPr="00CE5C4E" w:rsidRDefault="004527A5" w:rsidP="006F2281">
      <w:pPr>
        <w:pStyle w:val="Default"/>
        <w:ind w:firstLine="540"/>
        <w:jc w:val="both"/>
        <w:rPr>
          <w:sz w:val="28"/>
          <w:szCs w:val="28"/>
        </w:rPr>
      </w:pPr>
      <w:r w:rsidRPr="00CE5C4E">
        <w:rPr>
          <w:sz w:val="28"/>
          <w:szCs w:val="28"/>
        </w:rPr>
        <w:t>2) норм допустимой добычи охотничьих ресурсов, норм пропускной способности, установленных в отношении общедоступных охотничьих угодий, утверждаемых уполномоченным органом</w:t>
      </w:r>
      <w:proofErr w:type="gramStart"/>
      <w:r w:rsidRPr="00CE5C4E">
        <w:rPr>
          <w:sz w:val="28"/>
          <w:szCs w:val="28"/>
        </w:rPr>
        <w:t>.»</w:t>
      </w:r>
      <w:r>
        <w:rPr>
          <w:sz w:val="28"/>
          <w:szCs w:val="28"/>
        </w:rPr>
        <w:t>;</w:t>
      </w:r>
      <w:proofErr w:type="gramEnd"/>
    </w:p>
    <w:p w:rsidR="004527A5" w:rsidRPr="00CE5C4E" w:rsidRDefault="004527A5" w:rsidP="006F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CE5C4E">
        <w:rPr>
          <w:sz w:val="28"/>
          <w:szCs w:val="28"/>
        </w:rPr>
        <w:t>) абзац 1 части 3 изложить в следующей редакции:</w:t>
      </w:r>
    </w:p>
    <w:p w:rsidR="004527A5" w:rsidRDefault="004527A5" w:rsidP="006F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5C4E">
        <w:rPr>
          <w:sz w:val="28"/>
          <w:szCs w:val="28"/>
        </w:rPr>
        <w:t>«</w:t>
      </w:r>
      <w:r>
        <w:rPr>
          <w:sz w:val="28"/>
          <w:szCs w:val="28"/>
        </w:rPr>
        <w:t xml:space="preserve">3. </w:t>
      </w:r>
      <w:r w:rsidRPr="00CE5C4E">
        <w:rPr>
          <w:sz w:val="28"/>
          <w:szCs w:val="28"/>
        </w:rPr>
        <w:t>Для получения разрешения соответствующее физическое лицо (далее - заявитель) представляет заявление лично, по почте или через Единый портал государственных услуг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уполномоченный орган</w:t>
      </w:r>
      <w:proofErr w:type="gramStart"/>
      <w:r>
        <w:rPr>
          <w:sz w:val="28"/>
          <w:szCs w:val="28"/>
        </w:rPr>
        <w:t>.»;</w:t>
      </w:r>
    </w:p>
    <w:p w:rsidR="004527A5" w:rsidRDefault="004527A5" w:rsidP="006F2281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в) абзац 1 части 5 изложить в следующей редакции:</w:t>
      </w:r>
    </w:p>
    <w:p w:rsidR="004527A5" w:rsidRDefault="004527A5" w:rsidP="006F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«5. Уполномоченный орган в течение пяти рабочих дней со дня получения заявления осуществляет проверку содержания заявления, распределяет разрешения в порядке очередности</w:t>
      </w:r>
      <w:r w:rsidRPr="00CE5C4E">
        <w:rPr>
          <w:sz w:val="28"/>
          <w:szCs w:val="28"/>
        </w:rPr>
        <w:t xml:space="preserve"> поступления заявлений </w:t>
      </w:r>
      <w:proofErr w:type="gramStart"/>
      <w:r w:rsidRPr="00CE5C4E">
        <w:rPr>
          <w:sz w:val="28"/>
          <w:szCs w:val="28"/>
        </w:rPr>
        <w:t>по</w:t>
      </w:r>
      <w:proofErr w:type="gramEnd"/>
      <w:r w:rsidRPr="00CE5C4E">
        <w:rPr>
          <w:sz w:val="28"/>
          <w:szCs w:val="28"/>
        </w:rPr>
        <w:t xml:space="preserve"> </w:t>
      </w:r>
      <w:r w:rsidRPr="00CE5C4E">
        <w:rPr>
          <w:sz w:val="28"/>
          <w:szCs w:val="28"/>
        </w:rPr>
        <w:lastRenderedPageBreak/>
        <w:t>времени их регистрации,</w:t>
      </w:r>
      <w:r>
        <w:rPr>
          <w:sz w:val="28"/>
          <w:szCs w:val="28"/>
        </w:rPr>
        <w:t xml:space="preserve"> оформляет и выдает заявителю разрешение или направляет заявителю мотивированный отказ</w:t>
      </w:r>
      <w:proofErr w:type="gramStart"/>
      <w:r>
        <w:rPr>
          <w:sz w:val="28"/>
          <w:szCs w:val="28"/>
        </w:rPr>
        <w:t>.»;</w:t>
      </w:r>
      <w:proofErr w:type="gramEnd"/>
    </w:p>
    <w:p w:rsidR="004527A5" w:rsidRPr="00465BBF" w:rsidRDefault="004527A5" w:rsidP="00217D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65BBF">
        <w:rPr>
          <w:sz w:val="28"/>
          <w:szCs w:val="28"/>
        </w:rPr>
        <w:t xml:space="preserve">        </w:t>
      </w:r>
      <w:r>
        <w:rPr>
          <w:sz w:val="28"/>
          <w:szCs w:val="28"/>
        </w:rPr>
        <w:t>г</w:t>
      </w:r>
      <w:r w:rsidRPr="00465BBF">
        <w:rPr>
          <w:sz w:val="28"/>
          <w:szCs w:val="28"/>
        </w:rPr>
        <w:t>) часть 6 изложить в следующей редакции:</w:t>
      </w:r>
    </w:p>
    <w:p w:rsidR="004527A5" w:rsidRPr="00465BBF" w:rsidRDefault="004527A5" w:rsidP="00217D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5BBF">
        <w:rPr>
          <w:sz w:val="28"/>
          <w:szCs w:val="28"/>
        </w:rPr>
        <w:t>«</w:t>
      </w:r>
      <w:r>
        <w:rPr>
          <w:sz w:val="28"/>
          <w:szCs w:val="28"/>
        </w:rPr>
        <w:t xml:space="preserve">6. </w:t>
      </w:r>
      <w:r w:rsidRPr="00465BBF">
        <w:rPr>
          <w:sz w:val="28"/>
          <w:szCs w:val="28"/>
        </w:rPr>
        <w:t xml:space="preserve">Выдача разрешения осуществляется на основании предъявляемого заявителем основного документа, удостоверяющего личность. </w:t>
      </w:r>
      <w:proofErr w:type="gramStart"/>
      <w:r w:rsidRPr="00465BBF">
        <w:rPr>
          <w:sz w:val="28"/>
          <w:szCs w:val="28"/>
        </w:rPr>
        <w:t xml:space="preserve">При выдаче разрешения уполномоченным органом исполнительной власти заявитель может представить охотничий билет, документы, подтверждающие уплату государственной пошлины за предоставление разрешения на добычу объектов животного мира и уплату сбора за пользование объектами животного мира </w:t>
      </w:r>
      <w:r>
        <w:rPr>
          <w:sz w:val="28"/>
          <w:szCs w:val="28"/>
        </w:rPr>
        <w:t>в соответствии с Налоговым кодексом Российской Федерации</w:t>
      </w:r>
      <w:r w:rsidRPr="00465BBF">
        <w:rPr>
          <w:sz w:val="28"/>
          <w:szCs w:val="28"/>
        </w:rPr>
        <w:t>.»</w:t>
      </w:r>
      <w:r>
        <w:rPr>
          <w:sz w:val="28"/>
          <w:szCs w:val="28"/>
        </w:rPr>
        <w:t>;</w:t>
      </w:r>
      <w:proofErr w:type="gramEnd"/>
    </w:p>
    <w:p w:rsidR="004527A5" w:rsidRDefault="004527A5" w:rsidP="00CE5C4E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 в части 7 слова </w:t>
      </w:r>
      <w:r w:rsidRPr="00CE5C4E">
        <w:rPr>
          <w:sz w:val="28"/>
          <w:szCs w:val="28"/>
        </w:rPr>
        <w:t>«и кабана»</w:t>
      </w:r>
      <w:r>
        <w:rPr>
          <w:sz w:val="28"/>
          <w:szCs w:val="28"/>
        </w:rPr>
        <w:t xml:space="preserve"> исключить;</w:t>
      </w:r>
    </w:p>
    <w:p w:rsidR="004527A5" w:rsidRDefault="004527A5" w:rsidP="00CE5C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 дополнить </w:t>
      </w:r>
      <w:hyperlink r:id="rId5" w:history="1">
        <w:r w:rsidRPr="002C1491">
          <w:rPr>
            <w:rStyle w:val="a3"/>
            <w:color w:val="auto"/>
            <w:sz w:val="28"/>
            <w:szCs w:val="28"/>
            <w:u w:val="none"/>
          </w:rPr>
          <w:t xml:space="preserve">частями </w:t>
        </w:r>
      </w:hyperlink>
      <w:r>
        <w:rPr>
          <w:sz w:val="28"/>
          <w:szCs w:val="28"/>
        </w:rPr>
        <w:t>8-10 следующего содержания:</w:t>
      </w:r>
    </w:p>
    <w:p w:rsidR="004527A5" w:rsidRPr="009869EC" w:rsidRDefault="004527A5" w:rsidP="00CE5C4E">
      <w:pPr>
        <w:pStyle w:val="Default"/>
        <w:ind w:firstLine="540"/>
        <w:jc w:val="both"/>
        <w:rPr>
          <w:color w:val="FF0000"/>
          <w:sz w:val="28"/>
          <w:szCs w:val="28"/>
        </w:rPr>
      </w:pPr>
      <w:r w:rsidRPr="00CE5C4E">
        <w:rPr>
          <w:sz w:val="28"/>
          <w:szCs w:val="28"/>
        </w:rPr>
        <w:t>«8. При распределении разрешений учитывается документально подтвержденное участие физическ</w:t>
      </w:r>
      <w:r>
        <w:rPr>
          <w:sz w:val="28"/>
          <w:szCs w:val="28"/>
        </w:rPr>
        <w:t>ого</w:t>
      </w:r>
      <w:r w:rsidRPr="00CE5C4E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а в течение года, предшествующего </w:t>
      </w:r>
      <w:r w:rsidRPr="00CE5C4E">
        <w:rPr>
          <w:sz w:val="28"/>
          <w:szCs w:val="28"/>
        </w:rPr>
        <w:t>дат</w:t>
      </w:r>
      <w:r>
        <w:rPr>
          <w:sz w:val="28"/>
          <w:szCs w:val="28"/>
        </w:rPr>
        <w:t>е</w:t>
      </w:r>
      <w:r w:rsidRPr="00CE5C4E">
        <w:rPr>
          <w:sz w:val="28"/>
          <w:szCs w:val="28"/>
        </w:rPr>
        <w:t xml:space="preserve"> обращения с заявлением</w:t>
      </w:r>
      <w:r>
        <w:rPr>
          <w:sz w:val="28"/>
          <w:szCs w:val="28"/>
        </w:rPr>
        <w:t xml:space="preserve">, </w:t>
      </w:r>
      <w:r w:rsidRPr="00CE5C4E">
        <w:rPr>
          <w:sz w:val="28"/>
          <w:szCs w:val="28"/>
        </w:rPr>
        <w:t>в проведении на территории общедоступных охотничьих угодий Новосибирской области</w:t>
      </w:r>
      <w:r>
        <w:rPr>
          <w:color w:val="4F81BD"/>
          <w:sz w:val="28"/>
          <w:szCs w:val="28"/>
        </w:rPr>
        <w:t xml:space="preserve"> </w:t>
      </w:r>
      <w:r w:rsidRPr="00CC0C9C">
        <w:rPr>
          <w:color w:val="auto"/>
          <w:sz w:val="28"/>
          <w:szCs w:val="28"/>
        </w:rPr>
        <w:t>биотехнических мероприятий</w:t>
      </w:r>
      <w:r w:rsidRPr="009869EC">
        <w:rPr>
          <w:color w:val="0070C0"/>
          <w:sz w:val="28"/>
          <w:szCs w:val="28"/>
        </w:rPr>
        <w:t>.</w:t>
      </w:r>
      <w:r w:rsidRPr="00A866F6">
        <w:rPr>
          <w:color w:val="FF0000"/>
          <w:sz w:val="28"/>
          <w:szCs w:val="28"/>
        </w:rPr>
        <w:t xml:space="preserve"> </w:t>
      </w:r>
    </w:p>
    <w:p w:rsidR="004527A5" w:rsidRPr="00CC0C9C" w:rsidRDefault="004527A5" w:rsidP="00CE5C4E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CE5C4E">
        <w:rPr>
          <w:sz w:val="28"/>
          <w:szCs w:val="28"/>
        </w:rPr>
        <w:t xml:space="preserve">Состав </w:t>
      </w:r>
      <w:r>
        <w:rPr>
          <w:sz w:val="28"/>
          <w:szCs w:val="28"/>
        </w:rPr>
        <w:t xml:space="preserve">документов подтверждающих </w:t>
      </w:r>
      <w:r w:rsidRPr="00F26103">
        <w:rPr>
          <w:sz w:val="28"/>
          <w:szCs w:val="28"/>
        </w:rPr>
        <w:t>у</w:t>
      </w:r>
      <w:r w:rsidRPr="00CE5C4E">
        <w:rPr>
          <w:sz w:val="28"/>
          <w:szCs w:val="28"/>
        </w:rPr>
        <w:t>частие физическ</w:t>
      </w:r>
      <w:r>
        <w:rPr>
          <w:sz w:val="28"/>
          <w:szCs w:val="28"/>
        </w:rPr>
        <w:t>ого</w:t>
      </w:r>
      <w:r w:rsidRPr="00CE5C4E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CE5C4E">
        <w:rPr>
          <w:sz w:val="28"/>
          <w:szCs w:val="28"/>
        </w:rPr>
        <w:t xml:space="preserve"> в проведении на территории общедоступных охотничьих угодий</w:t>
      </w:r>
      <w:r>
        <w:rPr>
          <w:sz w:val="28"/>
          <w:szCs w:val="28"/>
        </w:rPr>
        <w:t xml:space="preserve"> </w:t>
      </w:r>
      <w:r w:rsidRPr="00CC0C9C">
        <w:rPr>
          <w:color w:val="auto"/>
          <w:sz w:val="28"/>
          <w:szCs w:val="28"/>
        </w:rPr>
        <w:t xml:space="preserve">биотехнических мероприятий, а также </w:t>
      </w:r>
      <w:r w:rsidRPr="00FC30EE">
        <w:rPr>
          <w:color w:val="auto"/>
          <w:sz w:val="28"/>
          <w:szCs w:val="28"/>
        </w:rPr>
        <w:t>перечень и объем</w:t>
      </w:r>
      <w:r w:rsidRPr="009869EC">
        <w:rPr>
          <w:color w:val="0070C0"/>
          <w:sz w:val="28"/>
          <w:szCs w:val="28"/>
        </w:rPr>
        <w:t xml:space="preserve"> </w:t>
      </w:r>
      <w:r w:rsidRPr="00CC0C9C">
        <w:rPr>
          <w:color w:val="auto"/>
          <w:sz w:val="28"/>
          <w:szCs w:val="28"/>
        </w:rPr>
        <w:t>биотехнических мероприятий, проводимых в общедоступных охотничьих угодьях, в которых могут принять участие физические лица, устанавливаются уполномоченным органом.</w:t>
      </w:r>
    </w:p>
    <w:p w:rsidR="004527A5" w:rsidRPr="00CC0C9C" w:rsidRDefault="004527A5" w:rsidP="00CE5C4E">
      <w:pPr>
        <w:pStyle w:val="Default"/>
        <w:jc w:val="both"/>
        <w:rPr>
          <w:color w:val="auto"/>
          <w:sz w:val="28"/>
          <w:szCs w:val="28"/>
        </w:rPr>
      </w:pPr>
      <w:r w:rsidRPr="00CC0C9C">
        <w:rPr>
          <w:b/>
          <w:color w:val="auto"/>
          <w:sz w:val="28"/>
          <w:szCs w:val="28"/>
        </w:rPr>
        <w:t xml:space="preserve">        </w:t>
      </w:r>
      <w:r w:rsidRPr="00CC0C9C">
        <w:rPr>
          <w:color w:val="auto"/>
          <w:sz w:val="28"/>
          <w:szCs w:val="28"/>
        </w:rPr>
        <w:t xml:space="preserve">9. Разрешения распределяются в следующей пропорции: </w:t>
      </w:r>
    </w:p>
    <w:p w:rsidR="004527A5" w:rsidRPr="00CC0C9C" w:rsidRDefault="004527A5" w:rsidP="00CE5C4E">
      <w:pPr>
        <w:pStyle w:val="Default"/>
        <w:jc w:val="both"/>
        <w:rPr>
          <w:color w:val="auto"/>
          <w:sz w:val="28"/>
          <w:szCs w:val="28"/>
        </w:rPr>
      </w:pPr>
      <w:r w:rsidRPr="00CC0C9C">
        <w:rPr>
          <w:color w:val="auto"/>
          <w:sz w:val="28"/>
          <w:szCs w:val="28"/>
        </w:rPr>
        <w:t xml:space="preserve">        30 % от общего количества разрешений распределяются между подавшими заявления физическими лицами, принимавшими участие в биотехнических мероприятиях в общедоступных охотничьих угодьях; </w:t>
      </w:r>
    </w:p>
    <w:p w:rsidR="004527A5" w:rsidRPr="00CC0C9C" w:rsidRDefault="004527A5" w:rsidP="00CE5C4E">
      <w:pPr>
        <w:pStyle w:val="Default"/>
        <w:jc w:val="both"/>
        <w:rPr>
          <w:color w:val="auto"/>
          <w:sz w:val="28"/>
          <w:szCs w:val="28"/>
        </w:rPr>
      </w:pPr>
      <w:r w:rsidRPr="00CC0C9C">
        <w:rPr>
          <w:color w:val="auto"/>
          <w:sz w:val="28"/>
          <w:szCs w:val="28"/>
        </w:rPr>
        <w:t xml:space="preserve">        70 % от общего количества разрешений распределяются между физическими </w:t>
      </w:r>
      <w:proofErr w:type="gramStart"/>
      <w:r w:rsidRPr="00CC0C9C">
        <w:rPr>
          <w:color w:val="auto"/>
          <w:sz w:val="28"/>
          <w:szCs w:val="28"/>
        </w:rPr>
        <w:t>лицами</w:t>
      </w:r>
      <w:proofErr w:type="gramEnd"/>
      <w:r w:rsidRPr="00CC0C9C">
        <w:rPr>
          <w:color w:val="auto"/>
          <w:sz w:val="28"/>
          <w:szCs w:val="28"/>
        </w:rPr>
        <w:t xml:space="preserve"> не принимавшими участие в мероприятиях, указанных в части 8 настоящей статьи.</w:t>
      </w:r>
    </w:p>
    <w:p w:rsidR="004527A5" w:rsidRPr="00CC0C9C" w:rsidRDefault="004527A5" w:rsidP="00F26103">
      <w:pPr>
        <w:pStyle w:val="Default"/>
        <w:numPr>
          <w:ilvl w:val="0"/>
          <w:numId w:val="4"/>
        </w:numPr>
        <w:ind w:left="0" w:firstLine="600"/>
        <w:jc w:val="both"/>
        <w:rPr>
          <w:color w:val="auto"/>
          <w:sz w:val="28"/>
          <w:szCs w:val="28"/>
        </w:rPr>
      </w:pPr>
      <w:r w:rsidRPr="00CC0C9C">
        <w:rPr>
          <w:color w:val="auto"/>
          <w:sz w:val="28"/>
          <w:szCs w:val="28"/>
        </w:rPr>
        <w:t xml:space="preserve"> </w:t>
      </w:r>
      <w:proofErr w:type="gramStart"/>
      <w:r w:rsidRPr="00CC0C9C">
        <w:rPr>
          <w:color w:val="auto"/>
          <w:sz w:val="28"/>
          <w:szCs w:val="28"/>
        </w:rPr>
        <w:t>Разрешения  между физическими лицами, не принимавшими участие в биотехнических мероприятиях распределяются специально уполномоченным органом в сфере охраны, контроля и регулирования использования объектов животного мира и среды их обитания в муниципальных районах Новосибирской области по месту нахождения охотничьих угодий, в которых предполагается осуществлять охоту, либо в городе Новосибирск, по месту нахождения указанного органа.</w:t>
      </w:r>
      <w:proofErr w:type="gramEnd"/>
    </w:p>
    <w:p w:rsidR="004527A5" w:rsidRPr="00CC0C9C" w:rsidRDefault="004527A5" w:rsidP="00F26103">
      <w:pPr>
        <w:pStyle w:val="Default"/>
        <w:ind w:firstLine="900"/>
        <w:jc w:val="both"/>
        <w:rPr>
          <w:color w:val="auto"/>
          <w:sz w:val="28"/>
          <w:szCs w:val="28"/>
        </w:rPr>
      </w:pPr>
      <w:r w:rsidRPr="00CC0C9C">
        <w:rPr>
          <w:color w:val="auto"/>
          <w:sz w:val="28"/>
          <w:szCs w:val="28"/>
        </w:rPr>
        <w:t xml:space="preserve">  </w:t>
      </w:r>
      <w:bookmarkStart w:id="0" w:name="_GoBack"/>
      <w:bookmarkEnd w:id="0"/>
      <w:r w:rsidRPr="00CC0C9C">
        <w:rPr>
          <w:color w:val="auto"/>
          <w:sz w:val="28"/>
          <w:szCs w:val="28"/>
        </w:rPr>
        <w:t xml:space="preserve"> Разрешения между физическими лицами, принимавшими участие в биотехнических мероприятиях распределяются специально уполномоченным органом в сфере охраны, контроля и регулирования использования объектов животного мира и среды их обитания в городе Новосибирск, по месту нахождения указанного органа</w:t>
      </w:r>
      <w:proofErr w:type="gramStart"/>
      <w:r w:rsidRPr="00CC0C9C">
        <w:rPr>
          <w:color w:val="auto"/>
          <w:sz w:val="28"/>
          <w:szCs w:val="28"/>
        </w:rPr>
        <w:t>.».</w:t>
      </w:r>
      <w:proofErr w:type="gramEnd"/>
    </w:p>
    <w:p w:rsidR="004527A5" w:rsidRDefault="004527A5" w:rsidP="000B6B1D">
      <w:pPr>
        <w:pStyle w:val="Default"/>
        <w:jc w:val="both"/>
        <w:rPr>
          <w:b/>
          <w:sz w:val="28"/>
          <w:szCs w:val="28"/>
        </w:rPr>
      </w:pPr>
    </w:p>
    <w:p w:rsidR="004527A5" w:rsidRDefault="004527A5" w:rsidP="000B6B1D">
      <w:pPr>
        <w:pStyle w:val="Default"/>
        <w:jc w:val="both"/>
        <w:rPr>
          <w:b/>
          <w:sz w:val="28"/>
          <w:szCs w:val="28"/>
        </w:rPr>
      </w:pPr>
    </w:p>
    <w:p w:rsidR="004527A5" w:rsidRDefault="004527A5" w:rsidP="000B6B1D">
      <w:pPr>
        <w:pStyle w:val="Default"/>
        <w:jc w:val="both"/>
        <w:rPr>
          <w:b/>
          <w:sz w:val="28"/>
          <w:szCs w:val="28"/>
        </w:rPr>
      </w:pPr>
    </w:p>
    <w:p w:rsidR="004527A5" w:rsidRDefault="004527A5" w:rsidP="006F2281">
      <w:pPr>
        <w:pStyle w:val="Default"/>
        <w:ind w:firstLine="540"/>
        <w:jc w:val="both"/>
        <w:rPr>
          <w:b/>
          <w:sz w:val="28"/>
          <w:szCs w:val="28"/>
        </w:rPr>
      </w:pPr>
      <w:r w:rsidRPr="002C1491">
        <w:rPr>
          <w:b/>
          <w:sz w:val="28"/>
          <w:szCs w:val="28"/>
        </w:rPr>
        <w:t>Статья 2</w:t>
      </w:r>
    </w:p>
    <w:p w:rsidR="004527A5" w:rsidRPr="002C1491" w:rsidRDefault="004527A5" w:rsidP="006F2281">
      <w:pPr>
        <w:pStyle w:val="Default"/>
        <w:ind w:firstLine="540"/>
        <w:jc w:val="both"/>
        <w:rPr>
          <w:b/>
          <w:sz w:val="28"/>
          <w:szCs w:val="28"/>
        </w:rPr>
      </w:pPr>
    </w:p>
    <w:p w:rsidR="004527A5" w:rsidRDefault="004527A5" w:rsidP="006F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4527A5" w:rsidRDefault="004527A5" w:rsidP="006F228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527A5" w:rsidRDefault="004527A5" w:rsidP="006F228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527A5" w:rsidRPr="004511E1" w:rsidRDefault="004527A5" w:rsidP="006F228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527A5" w:rsidRPr="004511E1" w:rsidRDefault="004527A5" w:rsidP="006F228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4511E1"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4527A5" w:rsidRPr="004511E1" w:rsidRDefault="004527A5" w:rsidP="006F228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4511E1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511E1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>Ф. Городецкий</w:t>
      </w:r>
    </w:p>
    <w:p w:rsidR="004527A5" w:rsidRPr="004511E1" w:rsidRDefault="004527A5" w:rsidP="006F228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527A5" w:rsidRPr="004511E1" w:rsidRDefault="004527A5" w:rsidP="006F228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4511E1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4527A5" w:rsidRPr="004511E1" w:rsidRDefault="004527A5" w:rsidP="006F228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«____»_____________2014</w:t>
      </w:r>
      <w:r w:rsidRPr="004511E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527A5" w:rsidRPr="004511E1" w:rsidRDefault="004527A5" w:rsidP="006F228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4511E1">
        <w:rPr>
          <w:rFonts w:ascii="Times New Roman" w:hAnsi="Times New Roman" w:cs="Times New Roman"/>
          <w:sz w:val="28"/>
          <w:szCs w:val="28"/>
        </w:rPr>
        <w:t>№____________ -</w:t>
      </w:r>
      <w:proofErr w:type="gramStart"/>
      <w:r w:rsidRPr="004511E1">
        <w:rPr>
          <w:rFonts w:ascii="Times New Roman" w:hAnsi="Times New Roman" w:cs="Times New Roman"/>
          <w:sz w:val="28"/>
          <w:szCs w:val="28"/>
        </w:rPr>
        <w:t>ОЗ</w:t>
      </w:r>
      <w:proofErr w:type="gramEnd"/>
    </w:p>
    <w:p w:rsidR="004527A5" w:rsidRPr="006F2281" w:rsidRDefault="004527A5" w:rsidP="006F2281"/>
    <w:sectPr w:rsidR="004527A5" w:rsidRPr="006F2281" w:rsidSect="002F4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41EEF"/>
    <w:multiLevelType w:val="hybridMultilevel"/>
    <w:tmpl w:val="9490CE2C"/>
    <w:lvl w:ilvl="0" w:tplc="264EE54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1">
    <w:nsid w:val="6D2912C8"/>
    <w:multiLevelType w:val="hybridMultilevel"/>
    <w:tmpl w:val="12849130"/>
    <w:lvl w:ilvl="0" w:tplc="6C184002">
      <w:start w:val="10"/>
      <w:numFmt w:val="decimal"/>
      <w:lvlText w:val="%1."/>
      <w:lvlJc w:val="left"/>
      <w:pPr>
        <w:ind w:left="9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6FE860BB"/>
    <w:multiLevelType w:val="hybridMultilevel"/>
    <w:tmpl w:val="5980EC38"/>
    <w:lvl w:ilvl="0" w:tplc="8DF45D4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733B6C26"/>
    <w:multiLevelType w:val="hybridMultilevel"/>
    <w:tmpl w:val="B4EA16F8"/>
    <w:lvl w:ilvl="0" w:tplc="EAA2E5C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D0624D"/>
    <w:rsid w:val="000B6B1D"/>
    <w:rsid w:val="00104A52"/>
    <w:rsid w:val="00217D59"/>
    <w:rsid w:val="002C1491"/>
    <w:rsid w:val="002F4C99"/>
    <w:rsid w:val="003A3426"/>
    <w:rsid w:val="003D3EAB"/>
    <w:rsid w:val="003F0F85"/>
    <w:rsid w:val="004511E1"/>
    <w:rsid w:val="004527A5"/>
    <w:rsid w:val="00465BBF"/>
    <w:rsid w:val="005726B4"/>
    <w:rsid w:val="006A0ECD"/>
    <w:rsid w:val="006F2281"/>
    <w:rsid w:val="00721C0E"/>
    <w:rsid w:val="00746CC2"/>
    <w:rsid w:val="00791C3C"/>
    <w:rsid w:val="008609DF"/>
    <w:rsid w:val="00917525"/>
    <w:rsid w:val="00951424"/>
    <w:rsid w:val="00954DE8"/>
    <w:rsid w:val="009869EC"/>
    <w:rsid w:val="009A40EB"/>
    <w:rsid w:val="00A179B9"/>
    <w:rsid w:val="00A866F6"/>
    <w:rsid w:val="00BA302D"/>
    <w:rsid w:val="00CA5646"/>
    <w:rsid w:val="00CA5754"/>
    <w:rsid w:val="00CC0C9C"/>
    <w:rsid w:val="00CE5C4E"/>
    <w:rsid w:val="00D0624D"/>
    <w:rsid w:val="00ED22DA"/>
    <w:rsid w:val="00EE703D"/>
    <w:rsid w:val="00F26103"/>
    <w:rsid w:val="00F60A4D"/>
    <w:rsid w:val="00FA117C"/>
    <w:rsid w:val="00FC30EE"/>
    <w:rsid w:val="00FF6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24D"/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104A52"/>
    <w:pPr>
      <w:spacing w:line="360" w:lineRule="auto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104A52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rsid w:val="006F2281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6F228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6F22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Heading">
    <w:name w:val="Heading"/>
    <w:uiPriority w:val="99"/>
    <w:rsid w:val="006F2281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6F228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99"/>
    <w:qFormat/>
    <w:rsid w:val="002C14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B6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6B1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64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262EE5C7ABE438F5F021FB36C9D04D7E0E4AB49714B7DF18C04D08EB63CD0C1650DE5AAF7512E5C74A0452FR4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725</Words>
  <Characters>4138</Characters>
  <Application>Microsoft Office Word</Application>
  <DocSecurity>0</DocSecurity>
  <Lines>34</Lines>
  <Paragraphs>9</Paragraphs>
  <ScaleCrop>false</ScaleCrop>
  <Company>ZS</Company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комитетом Законодательного Собрания</dc:title>
  <dc:creator>405PAHOMENKO</dc:creator>
  <cp:lastModifiedBy>User</cp:lastModifiedBy>
  <cp:revision>2</cp:revision>
  <cp:lastPrinted>2014-10-15T04:12:00Z</cp:lastPrinted>
  <dcterms:created xsi:type="dcterms:W3CDTF">2014-10-15T09:24:00Z</dcterms:created>
  <dcterms:modified xsi:type="dcterms:W3CDTF">2014-10-15T09:24:00Z</dcterms:modified>
</cp:coreProperties>
</file>